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FF6B00"/>
          <w:sz w:val="16"/>
        </w:rPr>
        <w:t>BIG FLOOR PLANS · GRANT PACKET · GRADES 9-12 CTE</w:t>
      </w:r>
    </w:p>
    <w:p>
      <w:pPr>
        <w:pStyle w:val="Heading1"/>
      </w:pPr>
      <w:r>
        <w:t>From Drawing to Takeoff: a construction-trades pathway on life-size plans</w:t>
      </w:r>
    </w:p>
    <w:p>
      <w:r>
        <w:t>Copy-ready answers for STEM and CTE grant applications. 7 free lessons on one reusable 1:1 print. Checked October 10, 2026. Replace everything highlighted in yellow.</w:t>
      </w:r>
    </w:p>
    <w:p>
      <w:pPr>
        <w:pStyle w:val="Heading2"/>
      </w:pPr>
      <w:r>
        <w:t>How to use this packet</w:t>
      </w:r>
    </w:p>
    <w:p>
      <w:pPr>
        <w:pStyle w:val="ListBullet"/>
      </w:pPr>
      <w:r>
        <w:t>Pick the funder below that fits your grade and timeline, and confirm its current deadline on the official page.</w:t>
      </w:r>
    </w:p>
    <w:p>
      <w:pPr>
        <w:pStyle w:val="ListBullet"/>
      </w:pPr>
      <w:r>
        <w:t xml:space="preserve">Copy each section into the application. Replace everything in </w:t>
      </w:r>
      <w:r>
        <w:rPr>
          <w:highlight w:val="yellow"/>
        </w:rPr>
        <w:t>[brackets]</w:t>
      </w:r>
      <w:r>
        <w:t xml:space="preserve"> (highlighted in the Word version).</w:t>
      </w:r>
    </w:p>
    <w:p>
      <w:pPr>
        <w:pStyle w:val="ListBullet"/>
      </w:pPr>
      <w:r>
        <w:t>Get a written quote for the print at bigfloorplans.com/get-a-quote and put the exact figure in your budget.</w:t>
      </w:r>
    </w:p>
    <w:p>
      <w:pPr>
        <w:pStyle w:val="ListBullet"/>
      </w:pPr>
      <w:r>
        <w:t>Optional: attach the free Evidence PDF from bigfloorplans.com/education-funding (research base and standards).</w:t>
      </w:r>
    </w:p>
    <w:p>
      <w:pPr>
        <w:pStyle w:val="Heading2"/>
      </w:pPr>
      <w:r>
        <w:t>Funders that fit this project</w:t>
      </w:r>
    </w:p>
    <w:tbl>
      <w:tblPr>
        <w:tblStyle w:val="LightGrid-Accent1"/>
        <w:tblW w:type="auto" w:w="0"/>
        <w:tblLook w:firstColumn="1" w:firstRow="1" w:lastColumn="0" w:lastRow="0" w:noHBand="0" w:noVBand="1" w:val="04A0"/>
      </w:tblPr>
      <w:tblGrid>
        <w:gridCol w:w="2484"/>
        <w:gridCol w:w="2484"/>
        <w:gridCol w:w="2484"/>
        <w:gridCol w:w="2484"/>
      </w:tblGrid>
      <w:tr>
        <w:tc>
          <w:tcPr>
            <w:tcW w:type="dxa" w:w="2484"/>
          </w:tcPr>
          <w:p>
            <w:r>
              <w:rPr>
                <w:b/>
                <w:sz w:val="17"/>
              </w:rPr>
            </w:r>
            <w:r>
              <w:rPr>
                <w:b/>
                <w:sz w:val="17"/>
              </w:rPr>
              <w:t>Funder</w:t>
            </w:r>
          </w:p>
        </w:tc>
        <w:tc>
          <w:tcPr>
            <w:tcW w:type="dxa" w:w="2484"/>
          </w:tcPr>
          <w:p>
            <w:r>
              <w:rPr>
                <w:b/>
                <w:sz w:val="17"/>
              </w:rPr>
            </w:r>
            <w:r>
              <w:rPr>
                <w:b/>
                <w:sz w:val="17"/>
              </w:rPr>
              <w:t>Amount</w:t>
            </w:r>
          </w:p>
        </w:tc>
        <w:tc>
          <w:tcPr>
            <w:tcW w:type="dxa" w:w="2484"/>
          </w:tcPr>
          <w:p>
            <w:r>
              <w:rPr>
                <w:b/>
                <w:sz w:val="17"/>
              </w:rPr>
            </w:r>
            <w:r>
              <w:rPr>
                <w:b/>
                <w:sz w:val="17"/>
              </w:rPr>
              <w:t>Timing</w:t>
            </w:r>
          </w:p>
        </w:tc>
        <w:tc>
          <w:tcPr>
            <w:tcW w:type="dxa" w:w="2484"/>
          </w:tcPr>
          <w:p>
            <w:r>
              <w:rPr>
                <w:b/>
                <w:sz w:val="17"/>
              </w:rPr>
            </w:r>
            <w:r>
              <w:rPr>
                <w:b/>
                <w:sz w:val="17"/>
              </w:rPr>
              <w:t>What they ask for</w:t>
            </w:r>
          </w:p>
        </w:tc>
      </w:tr>
      <w:tr>
        <w:tc>
          <w:tcPr>
            <w:tcW w:type="dxa" w:w="2484"/>
          </w:tcPr>
          <w:p>
            <w:r>
              <w:rPr>
                <w:sz w:val="17"/>
              </w:rPr>
            </w:r>
            <w:r>
              <w:rPr>
                <w:sz w:val="17"/>
              </w:rPr>
              <w:t>Perkins V (career and technical education)</w:t>
            </w:r>
            <w:r>
              <w:rPr>
                <w:sz w:val="17"/>
              </w:rPr>
              <w:br/>
            </w:r>
            <w:r>
              <w:rPr>
                <w:sz w:val="17"/>
              </w:rPr>
              <w:t>https://cte.ed.gov/</w:t>
            </w:r>
          </w:p>
        </w:tc>
        <w:tc>
          <w:tcPr>
            <w:tcW w:type="dxa" w:w="2484"/>
          </w:tcPr>
          <w:p>
            <w:r>
              <w:rPr>
                <w:sz w:val="17"/>
              </w:rPr>
            </w:r>
            <w:r>
              <w:rPr>
                <w:sz w:val="17"/>
              </w:rPr>
              <w:t>Local CTE allocation</w:t>
            </w:r>
          </w:p>
        </w:tc>
        <w:tc>
          <w:tcPr>
            <w:tcW w:type="dxa" w:w="2484"/>
          </w:tcPr>
          <w:p>
            <w:r>
              <w:rPr>
                <w:sz w:val="17"/>
              </w:rPr>
            </w:r>
            <w:r>
              <w:rPr>
                <w:sz w:val="17"/>
              </w:rPr>
              <w:t>Ask your CTE director / Perkins coordinator; allowable uses are set locally.</w:t>
            </w:r>
          </w:p>
        </w:tc>
        <w:tc>
          <w:tcPr>
            <w:tcW w:type="dxa" w:w="2484"/>
          </w:tcPr>
          <w:p>
            <w:r>
              <w:rPr>
                <w:sz w:val="17"/>
              </w:rPr>
            </w:r>
            <w:r>
              <w:rPr>
                <w:sz w:val="17"/>
              </w:rPr>
              <w:t>Program-improvement request: tie the print to the program of study, industry-recognized skills and the evaluation below.</w:t>
            </w:r>
          </w:p>
        </w:tc>
      </w:tr>
      <w:tr>
        <w:tc>
          <w:tcPr>
            <w:tcW w:type="dxa" w:w="2484"/>
          </w:tcPr>
          <w:p>
            <w:r>
              <w:rPr>
                <w:sz w:val="17"/>
              </w:rPr>
            </w:r>
            <w:r>
              <w:rPr>
                <w:sz w:val="17"/>
              </w:rPr>
              <w:t>Toshiba America Foundation, grades 6-12</w:t>
            </w:r>
            <w:r>
              <w:rPr>
                <w:sz w:val="17"/>
              </w:rPr>
              <w:br/>
            </w:r>
            <w:r>
              <w:rPr>
                <w:sz w:val="17"/>
              </w:rPr>
              <w:t>https://www.toshiba.com/taf/612.jsp</w:t>
            </w:r>
          </w:p>
        </w:tc>
        <w:tc>
          <w:tcPr>
            <w:tcW w:type="dxa" w:w="2484"/>
          </w:tcPr>
          <w:p>
            <w:r>
              <w:rPr>
                <w:sz w:val="17"/>
              </w:rPr>
            </w:r>
            <w:r>
              <w:rPr>
                <w:sz w:val="17"/>
              </w:rPr>
              <w:t>Up to $5,000 (or over $5,000)</w:t>
            </w:r>
          </w:p>
        </w:tc>
        <w:tc>
          <w:tcPr>
            <w:tcW w:type="dxa" w:w="2484"/>
          </w:tcPr>
          <w:p>
            <w:r>
              <w:rPr>
                <w:sz w:val="17"/>
              </w:rPr>
            </w:r>
            <w:r>
              <w:rPr>
                <w:sz w:val="17"/>
              </w:rPr>
              <w:t>Up to $5,000: due Mar 1, Jun 1, Sep 1 and Dec 1. Over $5,000: due May 1 and Nov 1.</w:t>
            </w:r>
          </w:p>
        </w:tc>
        <w:tc>
          <w:tcPr>
            <w:tcW w:type="dxa" w:w="2484"/>
          </w:tcPr>
          <w:p>
            <w:r>
              <w:rPr>
                <w:sz w:val="17"/>
              </w:rPr>
            </w:r>
            <w:r>
              <w:rPr>
                <w:sz w:val="17"/>
              </w:rPr>
              <w:t>In-class, project-based learning with measurable outcomes. Not funded: clubs, after-school or summer programs, general operations, computer hardware. One grant per school at a time.</w:t>
            </w:r>
          </w:p>
        </w:tc>
      </w:tr>
      <w:tr>
        <w:tc>
          <w:tcPr>
            <w:tcW w:type="dxa" w:w="2484"/>
          </w:tcPr>
          <w:p>
            <w:r>
              <w:rPr>
                <w:sz w:val="17"/>
              </w:rPr>
            </w:r>
            <w:r>
              <w:rPr>
                <w:sz w:val="17"/>
              </w:rPr>
              <w:t>ESSA Title IV-A (Student Support and Academic Enrichment)</w:t>
            </w:r>
            <w:r>
              <w:rPr>
                <w:sz w:val="17"/>
              </w:rPr>
              <w:br/>
            </w:r>
            <w:r>
              <w:rPr>
                <w:sz w:val="17"/>
              </w:rPr>
              <w:t>https://www.ed.gov/</w:t>
            </w:r>
          </w:p>
        </w:tc>
        <w:tc>
          <w:tcPr>
            <w:tcW w:type="dxa" w:w="2484"/>
          </w:tcPr>
          <w:p>
            <w:r>
              <w:rPr>
                <w:sz w:val="17"/>
              </w:rPr>
            </w:r>
            <w:r>
              <w:rPr>
                <w:sz w:val="17"/>
              </w:rPr>
              <w:t>Formula funds held by your district</w:t>
            </w:r>
          </w:p>
        </w:tc>
        <w:tc>
          <w:tcPr>
            <w:tcW w:type="dxa" w:w="2484"/>
          </w:tcPr>
          <w:p>
            <w:r>
              <w:rPr>
                <w:sz w:val="17"/>
              </w:rPr>
            </w:r>
            <w:r>
              <w:rPr>
                <w:sz w:val="17"/>
              </w:rPr>
              <w:t>Ask your district federal-programs / Title IV coordinator; uses are set locally.</w:t>
            </w:r>
          </w:p>
        </w:tc>
        <w:tc>
          <w:tcPr>
            <w:tcW w:type="dxa" w:w="2484"/>
          </w:tcPr>
          <w:p>
            <w:r>
              <w:rPr>
                <w:sz w:val="17"/>
              </w:rPr>
            </w:r>
            <w:r>
              <w:rPr>
                <w:sz w:val="17"/>
              </w:rPr>
              <w:t>A short request tying the purchase to well-rounded STEM education: use the summary, objectives and budget below.</w:t>
            </w:r>
          </w:p>
        </w:tc>
      </w:tr>
    </w:tbl>
    <w:p>
      <w:r>
        <w:t>Funder details checked on the official pages on October 10, 2026. Amounts, eligibility and deadlines change every cycle: confirm them before you apply.</w:t>
      </w:r>
    </w:p>
    <w:p>
      <w:pPr>
        <w:pStyle w:val="Heading2"/>
      </w:pPr>
      <w:r>
        <w:t>1. Project title</w:t>
      </w:r>
    </w:p>
    <w:p>
      <w:r>
        <w:t>From Drawing to Takeoff: a construction-trades pathway on life-size plans</w:t>
      </w:r>
    </w:p>
    <w:p>
      <w:pPr>
        <w:pStyle w:val="Heading2"/>
      </w:pPr>
      <w:r>
        <w:t>2. Project description</w:t>
      </w:r>
    </w:p>
    <w:p>
      <w:r>
        <w:rPr>
          <w:highlight w:val="yellow"/>
        </w:rPr>
        <w:t>[Number]</w:t>
      </w:r>
      <w:r>
        <w:t xml:space="preserve"> students in grades 9-12 CTE at </w:t>
      </w:r>
      <w:r>
        <w:rPr>
          <w:highlight w:val="yellow"/>
        </w:rPr>
        <w:t>[School name]</w:t>
      </w:r>
      <w:r>
        <w:t xml:space="preserve"> will learn blueprint reading, layout, framing and drywall takeoffs, plumbing and electrical rough-in, and estimating by walking, measuring and testing ideas on full-size (1:1) printed floor plans of two real buildings, the Teaching House and the Trades Bay. Over </w:t>
      </w:r>
      <w:r>
        <w:rPr>
          <w:highlight w:val="yellow"/>
        </w:rPr>
        <w:t>[7 weeks]</w:t>
      </w:r>
      <w:r>
        <w:t>, students complete 7 standards-aligned lessons, 5 of them on the prints and the rest in taped spaces. Each student completes a portfolio of checked takeoffs (lumber, drywall, finish) and a priced estimate. The print is a durable, reusable classroom material: after this project it stays in use for future classes and other subjects, with 75 free lesson plans written for it.</w:t>
      </w:r>
    </w:p>
    <w:p>
      <w:pPr>
        <w:pStyle w:val="Heading2"/>
      </w:pPr>
      <w:r>
        <w:t>3. Students served</w:t>
      </w:r>
    </w:p>
    <w:p>
      <w:r>
        <w:rPr>
          <w:highlight w:val="yellow"/>
        </w:rPr>
        <w:t>[Number]</w:t>
      </w:r>
      <w:r>
        <w:t xml:space="preserve"> students in </w:t>
      </w:r>
      <w:r>
        <w:rPr>
          <w:highlight w:val="yellow"/>
        </w:rPr>
        <w:t>[number]</w:t>
      </w:r>
      <w:r>
        <w:t xml:space="preserve"> class sections, Grades 9-12 CTE, at </w:t>
      </w:r>
      <w:r>
        <w:rPr>
          <w:highlight w:val="yellow"/>
        </w:rPr>
        <w:t>[School name]</w:t>
      </w:r>
      <w:r>
        <w:t xml:space="preserve">, </w:t>
      </w:r>
      <w:r>
        <w:rPr>
          <w:highlight w:val="yellow"/>
        </w:rPr>
        <w:t>[City, State]</w:t>
      </w:r>
      <w:r>
        <w:t xml:space="preserve">. </w:t>
      </w:r>
      <w:r>
        <w:rPr>
          <w:highlight w:val="yellow"/>
        </w:rPr>
        <w:t>[Percent]</w:t>
      </w:r>
      <w:r>
        <w:t xml:space="preserve">% of students qualify for free or reduced-price meals. </w:t>
      </w:r>
      <w:r>
        <w:rPr>
          <w:highlight w:val="yellow"/>
        </w:rPr>
        <w:t>[Optional: number of students with IEPs or English learners; the lessons include SPED and ELL supports.]</w:t>
      </w:r>
      <w:r>
        <w:t xml:space="preserve"> Because the print is reused, about </w:t>
      </w:r>
      <w:r>
        <w:rPr>
          <w:highlight w:val="yellow"/>
        </w:rPr>
        <w:t>[number]</w:t>
      </w:r>
      <w:r>
        <w:t xml:space="preserve"> students per year will use it after this project.</w:t>
      </w:r>
    </w:p>
    <w:p>
      <w:pPr>
        <w:pStyle w:val="Heading2"/>
      </w:pPr>
      <w:r>
        <w:t>4. Goals and measurable objectives</w:t>
      </w:r>
    </w:p>
    <w:p>
      <w:r>
        <w:t>Goals</w:t>
      </w:r>
    </w:p>
    <w:p>
      <w:pPr>
        <w:pStyle w:val="ListBullet"/>
      </w:pPr>
      <w:r>
        <w:t>Students read construction drawings and verify them against a true-size layout.</w:t>
      </w:r>
    </w:p>
    <w:p>
      <w:pPr>
        <w:pStyle w:val="ListBullet"/>
      </w:pPr>
      <w:r>
        <w:t>Students lay out, quantify and estimate framing, drywall, plumbing, electrical and finish work.</w:t>
      </w:r>
    </w:p>
    <w:p>
      <w:pPr>
        <w:pStyle w:val="ListBullet"/>
      </w:pPr>
      <w:r>
        <w:t>Students produce takeoffs and estimates another team can audit, as on a real job.</w:t>
      </w:r>
    </w:p>
    <w:p>
      <w:r>
        <w:t>Measurable objectives (set your own targets)</w:t>
      </w:r>
    </w:p>
    <w:p>
      <w:pPr>
        <w:pStyle w:val="ListBullet"/>
      </w:pPr>
      <w:r>
        <w:t xml:space="preserve">By </w:t>
      </w:r>
      <w:r>
        <w:rPr>
          <w:highlight w:val="yellow"/>
        </w:rPr>
        <w:t>[date]</w:t>
      </w:r>
      <w:r>
        <w:t xml:space="preserve">, at least </w:t>
      </w:r>
      <w:r>
        <w:rPr>
          <w:highlight w:val="yellow"/>
        </w:rPr>
        <w:t>[80]</w:t>
      </w:r>
      <w:r>
        <w:t>% of students will locate wall types, door swings, and dimension strings on a construction drawing at true size (Code Walk), measured by the lesson's exit ticket.</w:t>
      </w:r>
    </w:p>
    <w:p>
      <w:pPr>
        <w:pStyle w:val="ListBullet"/>
      </w:pPr>
      <w:r>
        <w:t xml:space="preserve">By </w:t>
      </w:r>
      <w:r>
        <w:rPr>
          <w:highlight w:val="yellow"/>
        </w:rPr>
        <w:t>[date]</w:t>
      </w:r>
      <w:r>
        <w:t xml:space="preserve">, at least </w:t>
      </w:r>
      <w:r>
        <w:rPr>
          <w:highlight w:val="yellow"/>
        </w:rPr>
        <w:t>[80]</w:t>
      </w:r>
      <w:r>
        <w:t>% of students will measure an alcove or wall segment at full scale, twice, and reconcile any difference (The Cut List), measured by the lesson's exit ticket.</w:t>
      </w:r>
    </w:p>
    <w:p>
      <w:pPr>
        <w:pStyle w:val="ListBullet"/>
      </w:pPr>
      <w:r>
        <w:t xml:space="preserve">By </w:t>
      </w:r>
      <w:r>
        <w:rPr>
          <w:highlight w:val="yellow"/>
        </w:rPr>
        <w:t>[date]</w:t>
      </w:r>
      <w:r>
        <w:t xml:space="preserve">, at least </w:t>
      </w:r>
      <w:r>
        <w:rPr>
          <w:highlight w:val="yellow"/>
        </w:rPr>
        <w:t>[80]</w:t>
      </w:r>
      <w:r>
        <w:t>% of students will measure wall lengths on the plan and compute total wall area from a stated ceiling height (Hang the Board), measured by the lesson's exit ticket.</w:t>
      </w:r>
    </w:p>
    <w:p>
      <w:pPr>
        <w:pStyle w:val="ListBullet"/>
      </w:pPr>
      <w:r>
        <w:t xml:space="preserve">By </w:t>
      </w:r>
      <w:r>
        <w:rPr>
          <w:highlight w:val="yellow"/>
        </w:rPr>
        <w:t>[date]</w:t>
      </w:r>
      <w:r>
        <w:t xml:space="preserve">, at least </w:t>
      </w:r>
      <w:r>
        <w:rPr>
          <w:highlight w:val="yellow"/>
        </w:rPr>
        <w:t>[80]</w:t>
      </w:r>
      <w:r>
        <w:t>% of students will locate every plumbing fixture on the plan (sinks, toilets, tub/shower, washer) (The Plumbing Wall), measured by the lesson's exit ticket.</w:t>
      </w:r>
    </w:p>
    <w:p>
      <w:pPr>
        <w:pStyle w:val="Heading2"/>
      </w:pPr>
      <w:r>
        <w:t>5. Methods and lesson sequence</w:t>
      </w:r>
    </w:p>
    <w:p>
      <w:r>
        <w:t>Students work in small teams on the full-size print. Each lesson follows the same routine: a short teacher model, guided practice on the floor, team work, a check for understanding and an exit ticket with an answer key. Every lesson also has a paper version at desks and supports for SPED and English learners.</w:t>
      </w:r>
    </w:p>
    <w:tbl>
      <w:tblPr>
        <w:tblStyle w:val="LightGrid-Accent1"/>
        <w:tblW w:type="auto" w:w="0"/>
        <w:tblLook w:firstColumn="1" w:firstRow="1" w:lastColumn="0" w:lastRow="0" w:noHBand="0" w:noVBand="1" w:val="04A0"/>
      </w:tblPr>
      <w:tblGrid>
        <w:gridCol w:w="1987"/>
        <w:gridCol w:w="1987"/>
        <w:gridCol w:w="1987"/>
        <w:gridCol w:w="1987"/>
        <w:gridCol w:w="1987"/>
      </w:tblGrid>
      <w:tr>
        <w:tc>
          <w:tcPr>
            <w:tcW w:type="dxa" w:w="1987"/>
          </w:tcPr>
          <w:p>
            <w:r>
              <w:rPr>
                <w:b/>
                <w:sz w:val="17"/>
              </w:rPr>
            </w:r>
            <w:r>
              <w:rPr>
                <w:b/>
                <w:sz w:val="17"/>
              </w:rPr>
              <w:t>Week</w:t>
            </w:r>
          </w:p>
        </w:tc>
        <w:tc>
          <w:tcPr>
            <w:tcW w:type="dxa" w:w="1987"/>
          </w:tcPr>
          <w:p>
            <w:r>
              <w:rPr>
                <w:b/>
                <w:sz w:val="17"/>
              </w:rPr>
            </w:r>
            <w:r>
              <w:rPr>
                <w:b/>
                <w:sz w:val="17"/>
              </w:rPr>
              <w:t>Lesson</w:t>
            </w:r>
          </w:p>
        </w:tc>
        <w:tc>
          <w:tcPr>
            <w:tcW w:type="dxa" w:w="1987"/>
          </w:tcPr>
          <w:p>
            <w:r>
              <w:rPr>
                <w:b/>
                <w:sz w:val="17"/>
              </w:rPr>
            </w:r>
            <w:r>
              <w:rPr>
                <w:b/>
                <w:sz w:val="17"/>
              </w:rPr>
              <w:t>Time</w:t>
            </w:r>
          </w:p>
        </w:tc>
        <w:tc>
          <w:tcPr>
            <w:tcW w:type="dxa" w:w="1987"/>
          </w:tcPr>
          <w:p>
            <w:r>
              <w:rPr>
                <w:b/>
                <w:sz w:val="17"/>
              </w:rPr>
            </w:r>
            <w:r>
              <w:rPr>
                <w:b/>
                <w:sz w:val="17"/>
              </w:rPr>
              <w:t>What students do</w:t>
            </w:r>
          </w:p>
        </w:tc>
        <w:tc>
          <w:tcPr>
            <w:tcW w:type="dxa" w:w="1987"/>
          </w:tcPr>
          <w:p>
            <w:r>
              <w:rPr>
                <w:b/>
                <w:sz w:val="17"/>
              </w:rPr>
            </w:r>
            <w:r>
              <w:rPr>
                <w:b/>
                <w:sz w:val="17"/>
              </w:rPr>
              <w:t>Standards</w:t>
            </w:r>
          </w:p>
        </w:tc>
      </w:tr>
      <w:tr>
        <w:tc>
          <w:tcPr>
            <w:tcW w:type="dxa" w:w="1987"/>
          </w:tcPr>
          <w:p>
            <w:r>
              <w:rPr>
                <w:sz w:val="17"/>
              </w:rPr>
            </w:r>
            <w:r>
              <w:rPr>
                <w:sz w:val="17"/>
                <w:highlight w:val="yellow"/>
              </w:rPr>
              <w:t>[Week 1]</w:t>
            </w:r>
          </w:p>
        </w:tc>
        <w:tc>
          <w:tcPr>
            <w:tcW w:type="dxa" w:w="1987"/>
          </w:tcPr>
          <w:p>
            <w:r>
              <w:rPr>
                <w:sz w:val="17"/>
              </w:rPr>
            </w:r>
            <w:r>
              <w:rPr>
                <w:sz w:val="17"/>
              </w:rPr>
              <w:t>Code Walk</w:t>
            </w:r>
            <w:r>
              <w:rPr>
                <w:sz w:val="17"/>
              </w:rPr>
              <w:br/>
            </w:r>
            <w:r>
              <w:rPr>
                <w:sz w:val="17"/>
              </w:rPr>
              <w:t>https://www.bigfloorplans.com/blueprint-reading-lesson-plan</w:t>
            </w:r>
          </w:p>
        </w:tc>
        <w:tc>
          <w:tcPr>
            <w:tcW w:type="dxa" w:w="1987"/>
          </w:tcPr>
          <w:p>
            <w:r>
              <w:rPr>
                <w:sz w:val="17"/>
              </w:rPr>
            </w:r>
            <w:r>
              <w:rPr>
                <w:sz w:val="17"/>
              </w:rPr>
              <w:t>45-50 min</w:t>
            </w:r>
          </w:p>
        </w:tc>
        <w:tc>
          <w:tcPr>
            <w:tcW w:type="dxa" w:w="1987"/>
          </w:tcPr>
          <w:p>
            <w:r>
              <w:rPr>
                <w:sz w:val="17"/>
              </w:rPr>
            </w:r>
            <w:r>
              <w:rPr>
                <w:sz w:val="17"/>
              </w:rPr>
              <w:t>Students read framing drawings at full size, chalk a 16-in on-center stud layout, and measure selected clearances.</w:t>
            </w:r>
          </w:p>
        </w:tc>
        <w:tc>
          <w:tcPr>
            <w:tcW w:type="dxa" w:w="1987"/>
          </w:tcPr>
          <w:p>
            <w:r>
              <w:rPr>
                <w:sz w:val="17"/>
              </w:rPr>
            </w:r>
            <w:r>
              <w:rPr>
                <w:sz w:val="17"/>
              </w:rPr>
              <w:t>HBI PACT, NCCER, Perkins V</w:t>
            </w:r>
          </w:p>
        </w:tc>
      </w:tr>
      <w:tr>
        <w:tc>
          <w:tcPr>
            <w:tcW w:type="dxa" w:w="1987"/>
          </w:tcPr>
          <w:p>
            <w:r>
              <w:rPr>
                <w:sz w:val="17"/>
              </w:rPr>
            </w:r>
            <w:r>
              <w:rPr>
                <w:sz w:val="17"/>
                <w:highlight w:val="yellow"/>
              </w:rPr>
              <w:t>[Week 2]</w:t>
            </w:r>
          </w:p>
        </w:tc>
        <w:tc>
          <w:tcPr>
            <w:tcW w:type="dxa" w:w="1987"/>
          </w:tcPr>
          <w:p>
            <w:r>
              <w:rPr>
                <w:sz w:val="17"/>
              </w:rPr>
            </w:r>
            <w:r>
              <w:rPr>
                <w:sz w:val="17"/>
              </w:rPr>
              <w:t>The Cut List</w:t>
            </w:r>
            <w:r>
              <w:rPr>
                <w:sz w:val="17"/>
              </w:rPr>
              <w:br/>
            </w:r>
            <w:r>
              <w:rPr>
                <w:sz w:val="17"/>
              </w:rPr>
              <w:t>https://www.bigfloorplans.com/lessons/the-cut-list</w:t>
            </w:r>
          </w:p>
        </w:tc>
        <w:tc>
          <w:tcPr>
            <w:tcW w:type="dxa" w:w="1987"/>
          </w:tcPr>
          <w:p>
            <w:r>
              <w:rPr>
                <w:sz w:val="17"/>
              </w:rPr>
            </w:r>
            <w:r>
              <w:rPr>
                <w:sz w:val="17"/>
              </w:rPr>
              <w:t>40-50 min</w:t>
            </w:r>
          </w:p>
        </w:tc>
        <w:tc>
          <w:tcPr>
            <w:tcW w:type="dxa" w:w="1987"/>
          </w:tcPr>
          <w:p>
            <w:r>
              <w:rPr>
                <w:sz w:val="17"/>
              </w:rPr>
            </w:r>
            <w:r>
              <w:rPr>
                <w:sz w:val="17"/>
              </w:rPr>
              <w:t>Partners measure an alcove twice, design a bookshelf with reveals, write a cut list with kerf and waste, and test one shelf length.</w:t>
            </w:r>
          </w:p>
        </w:tc>
        <w:tc>
          <w:tcPr>
            <w:tcW w:type="dxa" w:w="1987"/>
          </w:tcPr>
          <w:p>
            <w:r>
              <w:rPr>
                <w:sz w:val="17"/>
              </w:rPr>
            </w:r>
            <w:r>
              <w:rPr>
                <w:sz w:val="17"/>
              </w:rPr>
              <w:t>CCSS HSG-MG.A.3, CCSS MP6</w:t>
            </w:r>
          </w:p>
        </w:tc>
      </w:tr>
      <w:tr>
        <w:tc>
          <w:tcPr>
            <w:tcW w:type="dxa" w:w="1987"/>
          </w:tcPr>
          <w:p>
            <w:r>
              <w:rPr>
                <w:sz w:val="17"/>
              </w:rPr>
            </w:r>
            <w:r>
              <w:rPr>
                <w:sz w:val="17"/>
                <w:highlight w:val="yellow"/>
              </w:rPr>
              <w:t>[Week 3]</w:t>
            </w:r>
          </w:p>
        </w:tc>
        <w:tc>
          <w:tcPr>
            <w:tcW w:type="dxa" w:w="1987"/>
          </w:tcPr>
          <w:p>
            <w:r>
              <w:rPr>
                <w:sz w:val="17"/>
              </w:rPr>
            </w:r>
            <w:r>
              <w:rPr>
                <w:sz w:val="17"/>
              </w:rPr>
              <w:t>Hang the Board</w:t>
            </w:r>
            <w:r>
              <w:rPr>
                <w:sz w:val="17"/>
              </w:rPr>
              <w:br/>
            </w:r>
            <w:r>
              <w:rPr>
                <w:sz w:val="17"/>
              </w:rPr>
              <w:t>https://www.bigfloorplans.com/lessons/hang-the-board</w:t>
            </w:r>
          </w:p>
        </w:tc>
        <w:tc>
          <w:tcPr>
            <w:tcW w:type="dxa" w:w="1987"/>
          </w:tcPr>
          <w:p>
            <w:r>
              <w:rPr>
                <w:sz w:val="17"/>
              </w:rPr>
            </w:r>
            <w:r>
              <w:rPr>
                <w:sz w:val="17"/>
              </w:rPr>
              <w:t>40-50 min</w:t>
            </w:r>
          </w:p>
        </w:tc>
        <w:tc>
          <w:tcPr>
            <w:tcW w:type="dxa" w:w="1987"/>
          </w:tcPr>
          <w:p>
            <w:r>
              <w:rPr>
                <w:sz w:val="17"/>
              </w:rPr>
            </w:r>
            <w:r>
              <w:rPr>
                <w:sz w:val="17"/>
              </w:rPr>
              <w:t>Students measure walls, compute drywall area and sheet counts with waste, and plan seams to avoid door and window corners.</w:t>
            </w:r>
          </w:p>
        </w:tc>
        <w:tc>
          <w:tcPr>
            <w:tcW w:type="dxa" w:w="1987"/>
          </w:tcPr>
          <w:p>
            <w:r>
              <w:rPr>
                <w:sz w:val="17"/>
              </w:rPr>
            </w:r>
            <w:r>
              <w:rPr>
                <w:sz w:val="17"/>
              </w:rPr>
              <w:t>CCSS HSG-MG</w:t>
            </w:r>
          </w:p>
        </w:tc>
      </w:tr>
      <w:tr>
        <w:tc>
          <w:tcPr>
            <w:tcW w:type="dxa" w:w="1987"/>
          </w:tcPr>
          <w:p>
            <w:r>
              <w:rPr>
                <w:sz w:val="17"/>
              </w:rPr>
            </w:r>
            <w:r>
              <w:rPr>
                <w:sz w:val="17"/>
                <w:highlight w:val="yellow"/>
              </w:rPr>
              <w:t>[Week 4]</w:t>
            </w:r>
          </w:p>
        </w:tc>
        <w:tc>
          <w:tcPr>
            <w:tcW w:type="dxa" w:w="1987"/>
          </w:tcPr>
          <w:p>
            <w:r>
              <w:rPr>
                <w:sz w:val="17"/>
              </w:rPr>
            </w:r>
            <w:r>
              <w:rPr>
                <w:sz w:val="17"/>
              </w:rPr>
              <w:t>The Plumbing Wall</w:t>
            </w:r>
            <w:r>
              <w:rPr>
                <w:sz w:val="17"/>
              </w:rPr>
              <w:br/>
            </w:r>
            <w:r>
              <w:rPr>
                <w:sz w:val="17"/>
              </w:rPr>
              <w:t>https://www.bigfloorplans.com/lessons/plumbing-wall</w:t>
            </w:r>
          </w:p>
        </w:tc>
        <w:tc>
          <w:tcPr>
            <w:tcW w:type="dxa" w:w="1987"/>
          </w:tcPr>
          <w:p>
            <w:r>
              <w:rPr>
                <w:sz w:val="17"/>
              </w:rPr>
            </w:r>
            <w:r>
              <w:rPr>
                <w:sz w:val="17"/>
              </w:rPr>
              <w:t>45-55 min</w:t>
            </w:r>
          </w:p>
        </w:tc>
        <w:tc>
          <w:tcPr>
            <w:tcW w:type="dxa" w:w="1987"/>
          </w:tcPr>
          <w:p>
            <w:r>
              <w:rPr>
                <w:sz w:val="17"/>
              </w:rPr>
            </w:r>
            <w:r>
              <w:rPr>
                <w:sz w:val="17"/>
              </w:rPr>
              <w:t>Students locate fixtures, identify wet walls, lay string for supply and drain runs, and price a far-corner remodel.</w:t>
            </w:r>
          </w:p>
        </w:tc>
        <w:tc>
          <w:tcPr>
            <w:tcW w:type="dxa" w:w="1987"/>
          </w:tcPr>
          <w:p>
            <w:r>
              <w:rPr>
                <w:sz w:val="17"/>
              </w:rPr>
            </w:r>
            <w:r>
              <w:rPr>
                <w:sz w:val="17"/>
              </w:rPr>
              <w:t>NCCER</w:t>
            </w:r>
          </w:p>
        </w:tc>
      </w:tr>
      <w:tr>
        <w:tc>
          <w:tcPr>
            <w:tcW w:type="dxa" w:w="1987"/>
          </w:tcPr>
          <w:p>
            <w:r>
              <w:rPr>
                <w:sz w:val="17"/>
              </w:rPr>
            </w:r>
            <w:r>
              <w:rPr>
                <w:sz w:val="17"/>
                <w:highlight w:val="yellow"/>
              </w:rPr>
              <w:t>[Week 5]</w:t>
            </w:r>
          </w:p>
        </w:tc>
        <w:tc>
          <w:tcPr>
            <w:tcW w:type="dxa" w:w="1987"/>
          </w:tcPr>
          <w:p>
            <w:r>
              <w:rPr>
                <w:sz w:val="17"/>
              </w:rPr>
            </w:r>
            <w:r>
              <w:rPr>
                <w:sz w:val="17"/>
              </w:rPr>
              <w:t>The Circuit Walk</w:t>
            </w:r>
            <w:r>
              <w:rPr>
                <w:sz w:val="17"/>
              </w:rPr>
              <w:br/>
            </w:r>
            <w:r>
              <w:rPr>
                <w:sz w:val="17"/>
              </w:rPr>
              <w:t>https://www.bigfloorplans.com/lessons/circuit-walk</w:t>
            </w:r>
          </w:p>
        </w:tc>
        <w:tc>
          <w:tcPr>
            <w:tcW w:type="dxa" w:w="1987"/>
          </w:tcPr>
          <w:p>
            <w:r>
              <w:rPr>
                <w:sz w:val="17"/>
              </w:rPr>
            </w:r>
            <w:r>
              <w:rPr>
                <w:sz w:val="17"/>
              </w:rPr>
              <w:t>45-55 min</w:t>
            </w:r>
          </w:p>
        </w:tc>
        <w:tc>
          <w:tcPr>
            <w:tcW w:type="dxa" w:w="1987"/>
          </w:tcPr>
          <w:p>
            <w:r>
              <w:rPr>
                <w:sz w:val="17"/>
              </w:rPr>
            </w:r>
            <w:r>
              <w:rPr>
                <w:sz w:val="17"/>
              </w:rPr>
              <w:t>Students place outlets, switches and a panel on the plan, walk each circuit run to estimate wire, and measure the panel's working clearance.</w:t>
            </w:r>
          </w:p>
        </w:tc>
        <w:tc>
          <w:tcPr>
            <w:tcW w:type="dxa" w:w="1987"/>
          </w:tcPr>
          <w:p>
            <w:r>
              <w:rPr>
                <w:sz w:val="17"/>
              </w:rPr>
            </w:r>
            <w:r>
              <w:rPr>
                <w:sz w:val="17"/>
              </w:rPr>
              <w:t>NCCER</w:t>
            </w:r>
          </w:p>
        </w:tc>
      </w:tr>
      <w:tr>
        <w:tc>
          <w:tcPr>
            <w:tcW w:type="dxa" w:w="1987"/>
          </w:tcPr>
          <w:p>
            <w:r>
              <w:rPr>
                <w:sz w:val="17"/>
              </w:rPr>
            </w:r>
            <w:r>
              <w:rPr>
                <w:sz w:val="17"/>
                <w:highlight w:val="yellow"/>
              </w:rPr>
              <w:t>[Week 6]</w:t>
            </w:r>
          </w:p>
        </w:tc>
        <w:tc>
          <w:tcPr>
            <w:tcW w:type="dxa" w:w="1987"/>
          </w:tcPr>
          <w:p>
            <w:r>
              <w:rPr>
                <w:sz w:val="17"/>
              </w:rPr>
            </w:r>
            <w:r>
              <w:rPr>
                <w:sz w:val="17"/>
              </w:rPr>
              <w:t>The Finish Takeoff</w:t>
            </w:r>
            <w:r>
              <w:rPr>
                <w:sz w:val="17"/>
              </w:rPr>
              <w:br/>
            </w:r>
            <w:r>
              <w:rPr>
                <w:sz w:val="17"/>
              </w:rPr>
              <w:t>https://www.bigfloorplans.com/lesson-plans-construction-trades</w:t>
            </w:r>
          </w:p>
        </w:tc>
        <w:tc>
          <w:tcPr>
            <w:tcW w:type="dxa" w:w="1987"/>
          </w:tcPr>
          <w:p>
            <w:r>
              <w:rPr>
                <w:sz w:val="17"/>
              </w:rPr>
            </w:r>
            <w:r>
              <w:rPr>
                <w:sz w:val="17"/>
              </w:rPr>
              <w:t>45-55 min</w:t>
            </w:r>
          </w:p>
        </w:tc>
        <w:tc>
          <w:tcPr>
            <w:tcW w:type="dxa" w:w="1987"/>
          </w:tcPr>
          <w:p>
            <w:r>
              <w:rPr>
                <w:sz w:val="17"/>
              </w:rPr>
            </w:r>
            <w:r>
              <w:rPr>
                <w:sz w:val="17"/>
              </w:rPr>
              <w:t>Students measure floors and walls room by room, convert to purchasable units with waste and rounding, and price a materials list.</w:t>
            </w:r>
          </w:p>
        </w:tc>
        <w:tc>
          <w:tcPr>
            <w:tcW w:type="dxa" w:w="1987"/>
          </w:tcPr>
          <w:p>
            <w:r>
              <w:rPr>
                <w:sz w:val="17"/>
              </w:rPr>
            </w:r>
            <w:r>
              <w:rPr>
                <w:sz w:val="17"/>
              </w:rPr>
              <w:t>CCSS HSG-MG.A.3, Perkins V</w:t>
            </w:r>
          </w:p>
        </w:tc>
      </w:tr>
      <w:tr>
        <w:tc>
          <w:tcPr>
            <w:tcW w:type="dxa" w:w="1987"/>
          </w:tcPr>
          <w:p>
            <w:r>
              <w:rPr>
                <w:sz w:val="17"/>
              </w:rPr>
            </w:r>
            <w:r>
              <w:rPr>
                <w:sz w:val="17"/>
                <w:highlight w:val="yellow"/>
              </w:rPr>
              <w:t>[Week 7]</w:t>
            </w:r>
          </w:p>
        </w:tc>
        <w:tc>
          <w:tcPr>
            <w:tcW w:type="dxa" w:w="1987"/>
          </w:tcPr>
          <w:p>
            <w:r>
              <w:rPr>
                <w:sz w:val="17"/>
              </w:rPr>
            </w:r>
            <w:r>
              <w:rPr>
                <w:sz w:val="17"/>
              </w:rPr>
              <w:t>Price per Square Foot, On Foot</w:t>
            </w:r>
            <w:r>
              <w:rPr>
                <w:sz w:val="17"/>
              </w:rPr>
              <w:br/>
            </w:r>
            <w:r>
              <w:rPr>
                <w:sz w:val="17"/>
              </w:rPr>
              <w:t>https://www.bigfloorplans.com/lessons/price-per-square-foot</w:t>
            </w:r>
          </w:p>
        </w:tc>
        <w:tc>
          <w:tcPr>
            <w:tcW w:type="dxa" w:w="1987"/>
          </w:tcPr>
          <w:p>
            <w:r>
              <w:rPr>
                <w:sz w:val="17"/>
              </w:rPr>
            </w:r>
            <w:r>
              <w:rPr>
                <w:sz w:val="17"/>
              </w:rPr>
              <w:t>40-45 min</w:t>
            </w:r>
          </w:p>
        </w:tc>
        <w:tc>
          <w:tcPr>
            <w:tcW w:type="dxa" w:w="1987"/>
          </w:tcPr>
          <w:p>
            <w:r>
              <w:rPr>
                <w:sz w:val="17"/>
              </w:rPr>
            </w:r>
            <w:r>
              <w:rPr>
                <w:sz w:val="17"/>
              </w:rPr>
              <w:t>Students measure and total a plan's area, apply local price-per-square-foot comparables, and defend a price range.</w:t>
            </w:r>
          </w:p>
        </w:tc>
        <w:tc>
          <w:tcPr>
            <w:tcW w:type="dxa" w:w="1987"/>
          </w:tcPr>
          <w:p>
            <w:r>
              <w:rPr>
                <w:sz w:val="17"/>
              </w:rPr>
            </w:r>
            <w:r>
              <w:rPr>
                <w:sz w:val="17"/>
              </w:rPr>
              <w:t>CCSS HSG-MG, Perkins V</w:t>
            </w:r>
          </w:p>
        </w:tc>
      </w:tr>
    </w:tbl>
    <w:p>
      <w:pPr>
        <w:pStyle w:val="Heading2"/>
      </w:pPr>
      <w:r>
        <w:t>6. Timetable</w:t>
      </w:r>
    </w:p>
    <w:p>
      <w:pPr>
        <w:pStyle w:val="ListBullet"/>
      </w:pPr>
      <w:r>
        <w:rPr>
          <w:highlight w:val="yellow"/>
        </w:rPr>
        <w:t>[Month 1]</w:t>
      </w:r>
      <w:r>
        <w:t>: order the print on award (about 48-hour proof, then printing and shipping); copy student sheets.</w:t>
      </w:r>
    </w:p>
    <w:p>
      <w:pPr>
        <w:pStyle w:val="ListBullet"/>
      </w:pPr>
      <w:r>
        <w:rPr>
          <w:highlight w:val="yellow"/>
        </w:rPr>
        <w:t>[Months 1-3]</w:t>
      </w:r>
      <w:r>
        <w:t>: teach the 7 lessons above, one per week or two per week.</w:t>
      </w:r>
    </w:p>
    <w:p>
      <w:pPr>
        <w:pStyle w:val="ListBullet"/>
      </w:pPr>
      <w:r>
        <w:rPr>
          <w:highlight w:val="yellow"/>
        </w:rPr>
        <w:t>[Final month]</w:t>
      </w:r>
      <w:r>
        <w:t>: post-assessment, student presentations, report results to the funder.</w:t>
      </w:r>
    </w:p>
    <w:p>
      <w:pPr>
        <w:pStyle w:val="Heading2"/>
      </w:pPr>
      <w:r>
        <w:t>7. Evaluation plan</w:t>
      </w:r>
    </w:p>
    <w:p>
      <w:r>
        <w:t>Pre/post check. Give these items at the start of the unit and again at the end (answers are in the lesson keys):</w:t>
      </w:r>
    </w:p>
    <w:p>
      <w:pPr>
        <w:pStyle w:val="ListBullet"/>
      </w:pPr>
      <w:r>
        <w:t>How many studs for a 10-ft wall at 16 in OC, no openings? (Code Walk)</w:t>
      </w:r>
    </w:p>
    <w:p>
      <w:pPr>
        <w:pStyle w:val="ListBullet"/>
      </w:pPr>
      <w:r>
        <w:t>Opening 30 1/4 in, reveal 1/8 in each side, sides 3/4 in thick. Shelf length? (The Cut List)</w:t>
      </w:r>
    </w:p>
    <w:p>
      <w:pPr>
        <w:pStyle w:val="ListBullet"/>
      </w:pPr>
      <w:r>
        <w:t>A 14-ft wall, 8-ft ceiling, one 3 x 7 door. Net area and sheets with 10% waste? (Hang the Board)</w:t>
      </w:r>
    </w:p>
    <w:p>
      <w:pPr>
        <w:pStyle w:val="ListBullet"/>
      </w:pPr>
      <w:r>
        <w:t>Exit tickets from every lesson, scored with the lesson's answer key; report the percent of students meeting each objective.</w:t>
      </w:r>
    </w:p>
    <w:p>
      <w:pPr>
        <w:pStyle w:val="ListBullet"/>
      </w:pPr>
      <w:r>
        <w:t>Team products (designs, data, takeoffs) checked against the lesson rubric.</w:t>
      </w:r>
    </w:p>
    <w:p>
      <w:pPr>
        <w:pStyle w:val="ListBullet"/>
      </w:pPr>
      <w:r>
        <w:rPr>
          <w:highlight w:val="yellow"/>
        </w:rPr>
        <w:t>[Optional: a short student reflection: "What did you learn by walking the plan that you would not learn on paper?"]</w:t>
      </w:r>
    </w:p>
    <w:p>
      <w:pPr>
        <w:pStyle w:val="Heading2"/>
      </w:pPr>
      <w:r>
        <w:t>8. Standards alignment</w:t>
      </w:r>
    </w:p>
    <w:p>
      <w:pPr>
        <w:pStyle w:val="ListBullet"/>
      </w:pPr>
      <w:r>
        <w:t>HBI PACT - https://hbi.org/curriculum/</w:t>
      </w:r>
    </w:p>
    <w:p>
      <w:pPr>
        <w:pStyle w:val="ListBullet"/>
      </w:pPr>
      <w:r>
        <w:t>NCCER - https://www.nccer.org/</w:t>
      </w:r>
    </w:p>
    <w:p>
      <w:pPr>
        <w:pStyle w:val="ListBullet"/>
      </w:pPr>
      <w:r>
        <w:t>Perkins V - https://cte.ed.gov/legislation/perkins-v</w:t>
      </w:r>
    </w:p>
    <w:p>
      <w:pPr>
        <w:pStyle w:val="ListBullet"/>
      </w:pPr>
      <w:r>
        <w:t>CCSS HSG-MG.A.3 - https://www.thecorestandards.org/Math/Content/HSG/MG/A/3/</w:t>
      </w:r>
    </w:p>
    <w:p>
      <w:pPr>
        <w:pStyle w:val="ListBullet"/>
      </w:pPr>
      <w:r>
        <w:t>CCSS MP6 - https://www.thecorestandards.org/Math/Practice/MP6/</w:t>
      </w:r>
    </w:p>
    <w:p>
      <w:pPr>
        <w:pStyle w:val="ListBullet"/>
      </w:pPr>
      <w:r>
        <w:t>CCSS HSG-MG - https://www.thecorestandards.org/Math/Content/HSG/MG/</w:t>
      </w:r>
    </w:p>
    <w:p>
      <w:pPr>
        <w:pStyle w:val="Heading2"/>
      </w:pPr>
      <w:r>
        <w:t>9. Research basis</w:t>
      </w:r>
    </w:p>
    <w:p>
      <w:pPr>
        <w:pStyle w:val="ListBullet"/>
      </w:pPr>
      <w:r>
        <w:t>Wai, J., Lubinski, D., &amp; Benbow, C. P. (2009). Spatial ability for STEM domains: Aligning over 50 years of cumulative psychological knowledge solidifies its importance. Journal of Educational Psychology, 101(4), 817-835. https://doi.org/10.1037/a0016127</w:t>
      </w:r>
    </w:p>
    <w:p>
      <w:pPr>
        <w:pStyle w:val="ListBullet"/>
      </w:pPr>
      <w:r>
        <w:t>Uttal, D. H., Meadow, N. G., Tipton, E., Hand, L. L., Alden, A. R., Warren, C., &amp; Newcombe, N. S. (2013). The malleability of spatial skills: A meta-analysis of training studies. Psychological Bulletin, 139(2), 352-402. https://doi.org/10.1037/a0028446</w:t>
      </w:r>
    </w:p>
    <w:p>
      <w:pPr>
        <w:pStyle w:val="ListBullet"/>
      </w:pPr>
      <w:r>
        <w:t>Hawes, Z. C. K., Gilligan-Lee, K. A., &amp; Mix, K. S. (2022). Effects of spatial training on mathematics performance: A meta-analysis. Developmental Psychology, 58(1), 112-137. https://doi.org/10.1037/dev0001281</w:t>
      </w:r>
    </w:p>
    <w:p>
      <w:pPr>
        <w:pStyle w:val="Heading2"/>
      </w:pPr>
      <w:r>
        <w:t>10. Budget</w:t>
      </w:r>
    </w:p>
    <w:tbl>
      <w:tblPr>
        <w:tblStyle w:val="LightGrid-Accent1"/>
        <w:tblW w:type="auto" w:w="0"/>
        <w:tblLook w:firstColumn="1" w:firstRow="1" w:lastColumn="0" w:lastRow="0" w:noHBand="0" w:noVBand="1" w:val="04A0"/>
      </w:tblPr>
      <w:tblGrid>
        <w:gridCol w:w="3312"/>
        <w:gridCol w:w="3312"/>
        <w:gridCol w:w="3312"/>
      </w:tblGrid>
      <w:tr>
        <w:tc>
          <w:tcPr>
            <w:tcW w:type="dxa" w:w="3312"/>
          </w:tcPr>
          <w:p>
            <w:r>
              <w:rPr>
                <w:b/>
                <w:sz w:val="17"/>
              </w:rPr>
            </w:r>
            <w:r>
              <w:rPr>
                <w:b/>
                <w:sz w:val="17"/>
              </w:rPr>
              <w:t>Item</w:t>
            </w:r>
          </w:p>
        </w:tc>
        <w:tc>
          <w:tcPr>
            <w:tcW w:type="dxa" w:w="3312"/>
          </w:tcPr>
          <w:p>
            <w:r>
              <w:rPr>
                <w:b/>
                <w:sz w:val="17"/>
              </w:rPr>
            </w:r>
            <w:r>
              <w:rPr>
                <w:b/>
                <w:sz w:val="17"/>
              </w:rPr>
              <w:t>Detail</w:t>
            </w:r>
          </w:p>
        </w:tc>
        <w:tc>
          <w:tcPr>
            <w:tcW w:type="dxa" w:w="3312"/>
          </w:tcPr>
          <w:p>
            <w:r>
              <w:rPr>
                <w:b/>
                <w:sz w:val="17"/>
              </w:rPr>
            </w:r>
            <w:r>
              <w:rPr>
                <w:b/>
                <w:sz w:val="17"/>
              </w:rPr>
              <w:t>Cost</w:t>
            </w:r>
          </w:p>
        </w:tc>
      </w:tr>
      <w:tr>
        <w:tc>
          <w:tcPr>
            <w:tcW w:type="dxa" w:w="3312"/>
          </w:tcPr>
          <w:p>
            <w:r>
              <w:rPr>
                <w:sz w:val="17"/>
              </w:rPr>
            </w:r>
            <w:r>
              <w:rPr>
                <w:sz w:val="17"/>
              </w:rPr>
              <w:t>1:1 printed floor plan: Teaching House</w:t>
            </w:r>
          </w:p>
        </w:tc>
        <w:tc>
          <w:tcPr>
            <w:tcW w:type="dxa" w:w="3312"/>
          </w:tcPr>
          <w:p>
            <w:r>
              <w:rPr>
                <w:sz w:val="17"/>
              </w:rPr>
            </w:r>
            <w:r>
              <w:rPr>
                <w:sz w:val="17"/>
              </w:rPr>
              <w:t>56' x 42' (2,192 SF of rooms, 17 rooms); printed on 4 panels at $0.45 per printed sq ft</w:t>
            </w:r>
          </w:p>
        </w:tc>
        <w:tc>
          <w:tcPr>
            <w:tcW w:type="dxa" w:w="3312"/>
          </w:tcPr>
          <w:p>
            <w:r>
              <w:rPr>
                <w:sz w:val="17"/>
              </w:rPr>
            </w:r>
            <w:r>
              <w:rPr>
                <w:sz w:val="17"/>
              </w:rPr>
              <w:t xml:space="preserve">about $1,060-$1,110 </w:t>
            </w:r>
            <w:r>
              <w:rPr>
                <w:sz w:val="17"/>
                <w:highlight w:val="yellow"/>
              </w:rPr>
              <w:t>[replace with your written quote]</w:t>
            </w:r>
          </w:p>
        </w:tc>
      </w:tr>
      <w:tr>
        <w:tc>
          <w:tcPr>
            <w:tcW w:type="dxa" w:w="3312"/>
          </w:tcPr>
          <w:p>
            <w:r>
              <w:rPr>
                <w:sz w:val="17"/>
              </w:rPr>
            </w:r>
            <w:r>
              <w:rPr>
                <w:sz w:val="17"/>
              </w:rPr>
              <w:t>1:1 printed floor plan: Trades Bay</w:t>
            </w:r>
          </w:p>
        </w:tc>
        <w:tc>
          <w:tcPr>
            <w:tcW w:type="dxa" w:w="3312"/>
          </w:tcPr>
          <w:p>
            <w:r>
              <w:rPr>
                <w:sz w:val="17"/>
              </w:rPr>
            </w:r>
            <w:r>
              <w:rPr>
                <w:sz w:val="17"/>
              </w:rPr>
              <w:t>40' x 30' (1,200 SF, 4 rooms); printed on 3 panels at $0.45 per printed sq ft</w:t>
            </w:r>
          </w:p>
        </w:tc>
        <w:tc>
          <w:tcPr>
            <w:tcW w:type="dxa" w:w="3312"/>
          </w:tcPr>
          <w:p>
            <w:r>
              <w:rPr>
                <w:sz w:val="17"/>
              </w:rPr>
            </w:r>
            <w:r>
              <w:rPr>
                <w:sz w:val="17"/>
              </w:rPr>
              <w:t xml:space="preserve">about $540-$600 </w:t>
            </w:r>
            <w:r>
              <w:rPr>
                <w:sz w:val="17"/>
                <w:highlight w:val="yellow"/>
              </w:rPr>
              <w:t>[replace with your written quote]</w:t>
            </w:r>
          </w:p>
        </w:tc>
      </w:tr>
      <w:tr>
        <w:tc>
          <w:tcPr>
            <w:tcW w:type="dxa" w:w="3312"/>
          </w:tcPr>
          <w:p>
            <w:r>
              <w:rPr>
                <w:sz w:val="17"/>
              </w:rPr>
            </w:r>
            <w:r>
              <w:rPr>
                <w:sz w:val="17"/>
              </w:rPr>
              <w:t>Shipping</w:t>
            </w:r>
          </w:p>
        </w:tc>
        <w:tc>
          <w:tcPr>
            <w:tcW w:type="dxa" w:w="3312"/>
          </w:tcPr>
          <w:p>
            <w:r>
              <w:rPr>
                <w:sz w:val="17"/>
              </w:rPr>
            </w:r>
            <w:r>
              <w:rPr>
                <w:sz w:val="17"/>
              </w:rPr>
              <w:t>Quoted with the print</w:t>
            </w:r>
          </w:p>
        </w:tc>
        <w:tc>
          <w:tcPr>
            <w:tcW w:type="dxa" w:w="3312"/>
          </w:tcPr>
          <w:p>
            <w:r>
              <w:rPr>
                <w:sz w:val="17"/>
              </w:rPr>
            </w:r>
            <w:r>
              <w:rPr>
                <w:sz w:val="17"/>
                <w:highlight w:val="yellow"/>
              </w:rPr>
              <w:t>[from quote]</w:t>
            </w:r>
          </w:p>
        </w:tc>
      </w:tr>
      <w:tr>
        <w:tc>
          <w:tcPr>
            <w:tcW w:type="dxa" w:w="3312"/>
          </w:tcPr>
          <w:p>
            <w:r>
              <w:rPr>
                <w:sz w:val="17"/>
              </w:rPr>
            </w:r>
            <w:r>
              <w:rPr>
                <w:sz w:val="17"/>
              </w:rPr>
              <w:t>Painter's tape, tape measures, grid paper</w:t>
            </w:r>
          </w:p>
        </w:tc>
        <w:tc>
          <w:tcPr>
            <w:tcW w:type="dxa" w:w="3312"/>
          </w:tcPr>
          <w:p>
            <w:r>
              <w:rPr>
                <w:sz w:val="17"/>
              </w:rPr>
            </w:r>
            <w:r>
              <w:rPr>
                <w:sz w:val="17"/>
              </w:rPr>
              <w:t>Classroom consumables for the lessons</w:t>
            </w:r>
          </w:p>
        </w:tc>
        <w:tc>
          <w:tcPr>
            <w:tcW w:type="dxa" w:w="3312"/>
          </w:tcPr>
          <w:p>
            <w:r>
              <w:rPr>
                <w:sz w:val="17"/>
              </w:rPr>
            </w:r>
            <w:r>
              <w:rPr>
                <w:sz w:val="17"/>
                <w:highlight w:val="yellow"/>
              </w:rPr>
              <w:t>[amount, or "school supply"]</w:t>
            </w:r>
          </w:p>
        </w:tc>
      </w:tr>
      <w:tr>
        <w:tc>
          <w:tcPr>
            <w:tcW w:type="dxa" w:w="3312"/>
          </w:tcPr>
          <w:p>
            <w:r>
              <w:rPr>
                <w:sz w:val="17"/>
              </w:rPr>
            </w:r>
            <w:r>
              <w:rPr>
                <w:sz w:val="17"/>
              </w:rPr>
              <w:t>Lesson plans and student sheets</w:t>
            </w:r>
          </w:p>
        </w:tc>
        <w:tc>
          <w:tcPr>
            <w:tcW w:type="dxa" w:w="3312"/>
          </w:tcPr>
          <w:p>
            <w:r>
              <w:rPr>
                <w:sz w:val="17"/>
              </w:rPr>
            </w:r>
            <w:r>
              <w:rPr>
                <w:sz w:val="17"/>
              </w:rPr>
              <w:t>75 lesson plans, teacher guides, student sheets and answer keys</w:t>
            </w:r>
          </w:p>
        </w:tc>
        <w:tc>
          <w:tcPr>
            <w:tcW w:type="dxa" w:w="3312"/>
          </w:tcPr>
          <w:p>
            <w:r>
              <w:rPr>
                <w:sz w:val="17"/>
              </w:rPr>
            </w:r>
            <w:r>
              <w:rPr>
                <w:sz w:val="17"/>
              </w:rPr>
              <w:t>$0 (free, CC BY 4.0)</w:t>
            </w:r>
          </w:p>
        </w:tc>
      </w:tr>
      <w:tr>
        <w:tc>
          <w:tcPr>
            <w:tcW w:type="dxa" w:w="3312"/>
          </w:tcPr>
          <w:p>
            <w:r>
              <w:rPr>
                <w:sz w:val="17"/>
              </w:rPr>
            </w:r>
            <w:r>
              <w:rPr>
                <w:sz w:val="17"/>
              </w:rPr>
              <w:t>Total request</w:t>
            </w:r>
          </w:p>
        </w:tc>
        <w:tc>
          <w:tcPr>
            <w:tcW w:type="dxa" w:w="3312"/>
          </w:tcPr>
          <w:p>
            <w:r>
              <w:rPr>
                <w:sz w:val="17"/>
              </w:rPr>
            </w:r>
          </w:p>
        </w:tc>
        <w:tc>
          <w:tcPr>
            <w:tcW w:type="dxa" w:w="3312"/>
          </w:tcPr>
          <w:p>
            <w:r>
              <w:rPr>
                <w:sz w:val="17"/>
              </w:rPr>
            </w:r>
            <w:r>
              <w:rPr>
                <w:sz w:val="17"/>
                <w:highlight w:val="yellow"/>
              </w:rPr>
              <w:t>[about $1,600-$1,710 + shipping + consumables]</w:t>
            </w:r>
          </w:p>
        </w:tc>
      </w:tr>
    </w:tbl>
    <w:p>
      <w:r>
        <w:t>Prices are estimates from the published rate ($0.45 per printed sq ft, $100 minimum); the exact figure depends on the final print size, so get a written quote (bigfloorplans.com/get-a-quote) before you submit. Purchase orders are accepted.</w:t>
      </w:r>
    </w:p>
    <w:p>
      <w:pPr>
        <w:pStyle w:val="Heading2"/>
      </w:pPr>
      <w:r>
        <w:t>11. Sustainability</w:t>
      </w:r>
    </w:p>
    <w:p>
      <w:r>
        <w:t>The print is a durable, lightweight spunbonded synthetic that is tear- and water-resistant, so it can be rolled out and stored for repeated use. After this project, the same Teaching House and Trades Bay print supports other lessons across grades and subjects (the Teaching House alone is used by nearly 30 of the free lessons), so the purchase keeps serving new classes each year at no added cost.</w:t>
      </w:r>
    </w:p>
    <w:p>
      <w:pPr>
        <w:pStyle w:val="Heading2"/>
      </w:pPr>
      <w:r>
        <w:t>12. Principal letter (template)</w:t>
      </w:r>
    </w:p>
    <w:p>
      <w:r>
        <w:rPr>
          <w:highlight w:val="yellow"/>
        </w:rPr>
        <w:t>[Date]</w:t>
      </w:r>
    </w:p>
    <w:p>
      <w:r>
        <w:t xml:space="preserve">To the </w:t>
      </w:r>
      <w:r>
        <w:rPr>
          <w:highlight w:val="yellow"/>
        </w:rPr>
        <w:t>[Funder]</w:t>
      </w:r>
      <w:r>
        <w:t xml:space="preserve"> review committee,</w:t>
      </w:r>
    </w:p>
    <w:p>
      <w:r>
        <w:t xml:space="preserve">I am writing to recommend </w:t>
      </w:r>
      <w:r>
        <w:rPr>
          <w:highlight w:val="yellow"/>
        </w:rPr>
        <w:t>[Teacher name]</w:t>
      </w:r>
      <w:r>
        <w:t xml:space="preserve">, </w:t>
      </w:r>
      <w:r>
        <w:rPr>
          <w:highlight w:val="yellow"/>
        </w:rPr>
        <w:t>[subject/grade]</w:t>
      </w:r>
      <w:r>
        <w:t xml:space="preserve"> teacher at </w:t>
      </w:r>
      <w:r>
        <w:rPr>
          <w:highlight w:val="yellow"/>
        </w:rPr>
        <w:t>[School name]</w:t>
      </w:r>
      <w:r>
        <w:t xml:space="preserve">, for funding of "From Drawing to Takeoff: a construction-trades pathway on life-size plans." </w:t>
      </w:r>
      <w:r>
        <w:rPr>
          <w:highlight w:val="yellow"/>
        </w:rPr>
        <w:t>[Teacher name]</w:t>
      </w:r>
      <w:r>
        <w:t xml:space="preserve"> plans to use a full-size printed floor plan so that </w:t>
      </w:r>
      <w:r>
        <w:rPr>
          <w:highlight w:val="yellow"/>
        </w:rPr>
        <w:t>[number]</w:t>
      </w:r>
      <w:r>
        <w:t xml:space="preserve"> students can practise measurement, data and design by walking and testing their work at real scale. The project fits our school's goals for </w:t>
      </w:r>
      <w:r>
        <w:rPr>
          <w:highlight w:val="yellow"/>
        </w:rPr>
        <w:t>[goal, e.g. hands-on STEM / math achievement / career readiness]</w:t>
      </w:r>
      <w:r>
        <w:t>, and the print will remain in use for future classes.</w:t>
      </w:r>
    </w:p>
    <w:p>
      <w:r>
        <w:rPr>
          <w:highlight w:val="yellow"/>
        </w:rPr>
        <w:t>[One sentence about the teacher.]</w:t>
      </w:r>
    </w:p>
    <w:p>
      <w:r>
        <w:t>Sincerely,</w:t>
      </w:r>
      <w:r>
        <w:br/>
      </w:r>
      <w:r>
        <w:rPr>
          <w:highlight w:val="yellow"/>
        </w:rPr>
        <w:t>[Principal name]</w:t>
      </w:r>
      <w:r>
        <w:br/>
      </w:r>
      <w:r>
        <w:rPr>
          <w:highlight w:val="yellow"/>
        </w:rPr>
        <w:t>[School name]</w:t>
      </w:r>
      <w:r>
        <w:t xml:space="preserve">, </w:t>
      </w:r>
      <w:r>
        <w:rPr>
          <w:highlight w:val="yellow"/>
        </w:rPr>
        <w:t>[phone/email]</w:t>
      </w:r>
    </w:p>
    <w:p>
      <w:pPr>
        <w:pStyle w:val="Heading2"/>
      </w:pPr>
      <w:r>
        <w:t>Before you submit</w:t>
      </w:r>
    </w:p>
    <w:p>
      <w:pPr>
        <w:pStyle w:val="ListBullet"/>
      </w:pPr>
      <w:r>
        <w:t>Deadline and eligibility confirmed on the official page.</w:t>
      </w:r>
    </w:p>
    <w:p>
      <w:pPr>
        <w:pStyle w:val="ListBullet"/>
      </w:pPr>
      <w:r>
        <w:t xml:space="preserve">Every </w:t>
      </w:r>
      <w:r>
        <w:rPr>
          <w:highlight w:val="yellow"/>
        </w:rPr>
        <w:t>[bracket]</w:t>
      </w:r>
      <w:r>
        <w:t xml:space="preserve"> replaced.</w:t>
      </w:r>
    </w:p>
    <w:p>
      <w:pPr>
        <w:pStyle w:val="ListBullet"/>
      </w:pPr>
      <w:r>
        <w:t>Written quote attached or its figure entered in the budget.</w:t>
      </w:r>
    </w:p>
    <w:p>
      <w:pPr>
        <w:pStyle w:val="ListBullet"/>
      </w:pPr>
      <w:r>
        <w:t>Principal letter signed (if required).</w:t>
      </w:r>
    </w:p>
    <w:p>
      <w:pPr>
        <w:pStyle w:val="ListBullet"/>
      </w:pPr>
      <w:r>
        <w:t>Lessons linked above checked against your grade and schedule.</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